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6ED7FD" w14:textId="77777777" w:rsidR="00406877" w:rsidRPr="001B4D56" w:rsidRDefault="00DF4DAE">
      <w:pPr>
        <w:rPr>
          <w:b/>
          <w:bCs/>
          <w:sz w:val="28"/>
          <w:szCs w:val="28"/>
          <w:lang w:val="pl-PL"/>
        </w:rPr>
      </w:pPr>
      <w:r w:rsidRPr="001B4D56">
        <w:rPr>
          <w:b/>
          <w:bCs/>
          <w:sz w:val="28"/>
          <w:szCs w:val="28"/>
          <w:lang w:val="pl-PL"/>
        </w:rPr>
        <w:t>Uśmiechnij się, a świat ci zaufa: jak naśladownictwo kształtuje pierwsze wrażenie</w:t>
      </w:r>
    </w:p>
    <w:p w14:paraId="7860CC8A" w14:textId="77777777" w:rsidR="00406877" w:rsidRPr="001B4D56" w:rsidRDefault="00DF4DAE">
      <w:pPr>
        <w:rPr>
          <w:b/>
          <w:bCs/>
          <w:sz w:val="28"/>
          <w:szCs w:val="28"/>
          <w:lang w:val="pl-PL"/>
        </w:rPr>
      </w:pPr>
      <w:r w:rsidRPr="001B4D56">
        <w:rPr>
          <w:b/>
          <w:bCs/>
          <w:sz w:val="20"/>
          <w:szCs w:val="20"/>
          <w:lang w:val="pl-PL"/>
        </w:rPr>
        <w:t xml:space="preserve"> </w:t>
      </w:r>
    </w:p>
    <w:p w14:paraId="3493BCD9" w14:textId="77777777" w:rsidR="00406877" w:rsidRPr="001B4D56" w:rsidRDefault="00406877">
      <w:pPr>
        <w:rPr>
          <w:b/>
          <w:bCs/>
          <w:sz w:val="20"/>
          <w:szCs w:val="20"/>
          <w:lang w:val="pl-PL"/>
        </w:rPr>
      </w:pPr>
    </w:p>
    <w:p w14:paraId="22C0AE45" w14:textId="77777777" w:rsidR="00406877" w:rsidRPr="001B4D56" w:rsidRDefault="00DF4DAE">
      <w:pPr>
        <w:jc w:val="both"/>
        <w:rPr>
          <w:rFonts w:ascii="Arial" w:eastAsia="Arial" w:hAnsi="Arial" w:cs="Arial"/>
          <w:b/>
          <w:bCs/>
          <w:lang w:val="pl-PL"/>
        </w:rPr>
      </w:pPr>
      <w:r w:rsidRPr="001B4D56">
        <w:rPr>
          <w:rFonts w:ascii="Arial" w:eastAsia="Arial" w:hAnsi="Arial" w:cs="Arial"/>
          <w:b/>
          <w:bCs/>
          <w:lang w:val="pl-PL"/>
        </w:rPr>
        <w:t>Jak naśladownictwo, czyli mimikra, wpływa na to, jak oceniamy innych ludzi? Czyje zachowania powielamy i w jakich sytuacjach? Okazuje się, że częściej naśladujemy osoby, które wyrażają radość, są one w naszych oczach atrakcyjniejsze oraz bardziej wiarygodn</w:t>
      </w:r>
      <w:r w:rsidRPr="001B4D56">
        <w:rPr>
          <w:rFonts w:ascii="Arial" w:eastAsia="Arial" w:hAnsi="Arial" w:cs="Arial"/>
          <w:b/>
          <w:bCs/>
          <w:lang w:val="pl-PL"/>
        </w:rPr>
        <w:t>e. Pracę na ten temat opublikowali naukowcy m.in. z Uniwersytetu SWPS w magazynie „</w:t>
      </w:r>
      <w:proofErr w:type="spellStart"/>
      <w:r w:rsidRPr="001B4D56">
        <w:rPr>
          <w:rFonts w:ascii="Arial" w:eastAsia="Arial" w:hAnsi="Arial" w:cs="Arial"/>
          <w:b/>
          <w:bCs/>
          <w:lang w:val="pl-PL"/>
        </w:rPr>
        <w:t>Emotion</w:t>
      </w:r>
      <w:proofErr w:type="spellEnd"/>
      <w:r w:rsidRPr="001B4D56">
        <w:rPr>
          <w:rFonts w:ascii="Arial" w:eastAsia="Arial" w:hAnsi="Arial" w:cs="Arial"/>
          <w:b/>
          <w:bCs/>
          <w:lang w:val="pl-PL"/>
        </w:rPr>
        <w:t>”.</w:t>
      </w:r>
    </w:p>
    <w:p w14:paraId="54EA53F3" w14:textId="77777777" w:rsidR="00406877" w:rsidRPr="001B4D56" w:rsidRDefault="00406877">
      <w:pPr>
        <w:jc w:val="both"/>
        <w:rPr>
          <w:rFonts w:ascii="Arial" w:eastAsia="Arial" w:hAnsi="Arial" w:cs="Arial"/>
          <w:b/>
          <w:bCs/>
          <w:lang w:val="pl-PL"/>
        </w:rPr>
      </w:pPr>
    </w:p>
    <w:p w14:paraId="3CA364AC" w14:textId="77777777" w:rsidR="00406877" w:rsidRPr="001B4D56" w:rsidRDefault="00DF4DAE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1B4D56">
        <w:rPr>
          <w:sz w:val="20"/>
          <w:szCs w:val="20"/>
          <w:lang w:val="pl-PL"/>
        </w:rPr>
        <w:t>Ludzie lubią oceniać innych na podstawie wyglądu zewnętrznego</w:t>
      </w:r>
      <w:r w:rsidRPr="001B4D56">
        <w:rPr>
          <w:sz w:val="20"/>
          <w:szCs w:val="20"/>
          <w:vertAlign w:val="superscript"/>
          <w:lang w:val="pl-PL"/>
        </w:rPr>
        <w:footnoteReference w:id="1"/>
      </w:r>
      <w:r w:rsidRPr="001B4D56">
        <w:rPr>
          <w:sz w:val="20"/>
          <w:szCs w:val="20"/>
          <w:lang w:val="pl-PL"/>
        </w:rPr>
        <w:t xml:space="preserve">. I tak na przykład kwadratowa szczęka, wysokie czoło i mocne brwi kojarzone są często z dominacją </w:t>
      </w:r>
      <w:r w:rsidRPr="001B4D56">
        <w:rPr>
          <w:sz w:val="20"/>
          <w:szCs w:val="20"/>
          <w:lang w:val="pl-PL"/>
        </w:rPr>
        <w:t>społeczną</w:t>
      </w:r>
      <w:r w:rsidRPr="001B4D56">
        <w:rPr>
          <w:sz w:val="20"/>
          <w:szCs w:val="20"/>
          <w:vertAlign w:val="superscript"/>
          <w:lang w:val="pl-PL"/>
        </w:rPr>
        <w:footnoteReference w:id="2"/>
      </w:r>
      <w:r w:rsidRPr="001B4D56">
        <w:rPr>
          <w:sz w:val="20"/>
          <w:szCs w:val="20"/>
          <w:lang w:val="pl-PL"/>
        </w:rPr>
        <w:t xml:space="preserve">. Drugą istotną wskazówką, na podstawie której przypisujemy innym określone cechy charakteru, jest wyraz twarzy. Mimika odgrywa znaczącą rolę w komunikacji niewerbalnej i jest źródłem wielu informacji o drugiej osobie. Już na podstawie krótkiej </w:t>
      </w:r>
      <w:r w:rsidRPr="001B4D56">
        <w:rPr>
          <w:sz w:val="20"/>
          <w:szCs w:val="20"/>
          <w:lang w:val="pl-PL"/>
        </w:rPr>
        <w:t>obserwacji twarzy innego człowieka wyciągamy wnioski o jego uczuciach czy intencjach. Co więcej, mamy tendencję do naśladowania naszego rozmówcy, czyli do mimikry emocji. A naśladownictwo odgrywa ważną rolę w budowaniu relacji społecznych, bo pomaga lepiej</w:t>
      </w:r>
      <w:r w:rsidRPr="001B4D56">
        <w:rPr>
          <w:sz w:val="20"/>
          <w:szCs w:val="20"/>
          <w:lang w:val="pl-PL"/>
        </w:rPr>
        <w:t xml:space="preserve"> zrozumieć innych. </w:t>
      </w:r>
    </w:p>
    <w:p w14:paraId="6359FAB1" w14:textId="77777777" w:rsidR="00406877" w:rsidRPr="001B4D56" w:rsidRDefault="0040687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0DF33AD6" w14:textId="77777777" w:rsidR="00406877" w:rsidRPr="001B4D56" w:rsidRDefault="00DF4DAE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1B4D56"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  <w:t>Rola naśladowania emocji w ocenie innych</w:t>
      </w:r>
    </w:p>
    <w:p w14:paraId="4724D1C0" w14:textId="77777777" w:rsidR="00406877" w:rsidRPr="001B4D56" w:rsidRDefault="00DF4DAE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1B4D56">
        <w:rPr>
          <w:sz w:val="20"/>
          <w:szCs w:val="20"/>
          <w:lang w:val="pl-PL"/>
        </w:rPr>
        <w:t>Naukowcy postanowili zbadać, jaką rolę naśladowanie emocji odgrywa w przypisywaniu innym określonych cech charakteru. Wzięli pod uwagę kilka czynników: emocjonalne znaczenie wyrazu twarzy, konte</w:t>
      </w:r>
      <w:r w:rsidRPr="001B4D56">
        <w:rPr>
          <w:sz w:val="20"/>
          <w:szCs w:val="20"/>
          <w:lang w:val="pl-PL"/>
        </w:rPr>
        <w:t xml:space="preserve">kst sytuacyjny i cechy charakteru podlegające ocenie. </w:t>
      </w:r>
    </w:p>
    <w:p w14:paraId="6A8F7A74" w14:textId="77777777" w:rsidR="00406877" w:rsidRPr="001B4D56" w:rsidRDefault="0040687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1D59ADD4" w14:textId="77777777" w:rsidR="00406877" w:rsidRPr="001B4D56" w:rsidRDefault="00DF4DAE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1B4D56">
        <w:rPr>
          <w:sz w:val="20"/>
          <w:szCs w:val="20"/>
          <w:lang w:val="pl-PL"/>
        </w:rPr>
        <w:t xml:space="preserve">Nowe badanie przeprowadzili: dr hab. Michał Olszanowski, prof. Uniwersytetu SWPS i dr Aleksandra </w:t>
      </w:r>
      <w:proofErr w:type="spellStart"/>
      <w:r w:rsidRPr="001B4D56">
        <w:rPr>
          <w:sz w:val="20"/>
          <w:szCs w:val="20"/>
          <w:lang w:val="pl-PL"/>
        </w:rPr>
        <w:t>Tołopiło</w:t>
      </w:r>
      <w:proofErr w:type="spellEnd"/>
      <w:r w:rsidRPr="001B4D56">
        <w:rPr>
          <w:sz w:val="20"/>
          <w:szCs w:val="20"/>
          <w:lang w:val="pl-PL"/>
        </w:rPr>
        <w:t>, z Centrum Badań nad Biologicznymi Podstawami Funkcjonowania Społecznego, Wydziału Psychologii</w:t>
      </w:r>
      <w:r w:rsidRPr="001B4D56">
        <w:rPr>
          <w:sz w:val="20"/>
          <w:szCs w:val="20"/>
          <w:lang w:val="pl-PL"/>
        </w:rPr>
        <w:t xml:space="preserve"> w Warszawie USWPS,  oraz prof. </w:t>
      </w:r>
      <w:proofErr w:type="spellStart"/>
      <w:r w:rsidRPr="001B4D56">
        <w:rPr>
          <w:sz w:val="20"/>
          <w:szCs w:val="20"/>
          <w:lang w:val="pl-PL"/>
        </w:rPr>
        <w:lastRenderedPageBreak/>
        <w:t>Ursula</w:t>
      </w:r>
      <w:proofErr w:type="spellEnd"/>
      <w:r w:rsidRPr="001B4D56">
        <w:rPr>
          <w:sz w:val="20"/>
          <w:szCs w:val="20"/>
          <w:lang w:val="pl-PL"/>
        </w:rPr>
        <w:t xml:space="preserve"> Hess z Uniwersytetu Humboldtów w Berlinie. </w:t>
      </w:r>
    </w:p>
    <w:p w14:paraId="146E50E5" w14:textId="77777777" w:rsidR="00406877" w:rsidRPr="001B4D56" w:rsidRDefault="0040687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6722217A" w14:textId="77777777" w:rsidR="00406877" w:rsidRPr="001B4D56" w:rsidRDefault="00DF4DAE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1B4D56">
        <w:rPr>
          <w:sz w:val="20"/>
          <w:szCs w:val="20"/>
          <w:lang w:val="pl-PL"/>
        </w:rPr>
        <w:t>– Postawiliśmy hipotezę, że uczestnicy będą lepiej oceniali i ufali  osobom uśmiechniętym, niż osobom wyrażającym gniew lub smutek. Dodatkowo przewidywaliśmy, że badani będ</w:t>
      </w:r>
      <w:r w:rsidRPr="001B4D56">
        <w:rPr>
          <w:sz w:val="20"/>
          <w:szCs w:val="20"/>
          <w:lang w:val="pl-PL"/>
        </w:rPr>
        <w:t>ą chętniej naśladowali przejawy szczęścia niż smutku, podczas gdy gniew będzie powielany w najmniejszym stopniu. Co ważne, to właśnie intensywność naśladowania będzie pozwalała przewidzieć, na ile uczestnicy zaufają naśladowanym osobom. Innymi słowy, im kt</w:t>
      </w:r>
      <w:r w:rsidRPr="001B4D56">
        <w:rPr>
          <w:sz w:val="20"/>
          <w:szCs w:val="20"/>
          <w:lang w:val="pl-PL"/>
        </w:rPr>
        <w:t xml:space="preserve">oś bardziej naśladuje czyjś uśmiech, tym bardziej tej osobie zaufa – mówi psycholog dr hab. Michał Olszanowski, prof. USWPS. </w:t>
      </w:r>
    </w:p>
    <w:p w14:paraId="236B3FAE" w14:textId="77777777" w:rsidR="00406877" w:rsidRPr="001B4D56" w:rsidRDefault="0040687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6476C170" w14:textId="77777777" w:rsidR="00406877" w:rsidRPr="001B4D56" w:rsidRDefault="00DF4DAE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1B4D56"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  <w:t>Cechy wypisane na twarzy</w:t>
      </w:r>
    </w:p>
    <w:p w14:paraId="3AE7CD9D" w14:textId="77777777" w:rsidR="00406877" w:rsidRPr="001B4D56" w:rsidRDefault="00DF4DAE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1B4D56">
        <w:rPr>
          <w:sz w:val="20"/>
          <w:szCs w:val="20"/>
          <w:lang w:val="pl-PL"/>
        </w:rPr>
        <w:t>W celu zbadania wzajemnego oddziaływania kontekstu społecznego i mimikry emocji na ocenę cech charakteru</w:t>
      </w:r>
      <w:r w:rsidRPr="001B4D56">
        <w:rPr>
          <w:sz w:val="20"/>
          <w:szCs w:val="20"/>
          <w:lang w:val="pl-PL"/>
        </w:rPr>
        <w:t xml:space="preserve"> badacze poprosili uczestników o przyjrzenie się twarzom wyrażającym radość, smutek i gniew. Przeprowadzono trzy eksperymenty. Aktywność mięśni twarzy badanych w dwóch eksperymentach mierzono za pomocą elektromiografii (EMG). </w:t>
      </w:r>
    </w:p>
    <w:p w14:paraId="69C7D766" w14:textId="77777777" w:rsidR="00406877" w:rsidRPr="001B4D56" w:rsidRDefault="0040687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329F5C51" w14:textId="77777777" w:rsidR="00406877" w:rsidRPr="001B4D56" w:rsidRDefault="00DF4DAE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1B4D56">
        <w:rPr>
          <w:sz w:val="20"/>
          <w:szCs w:val="20"/>
          <w:lang w:val="pl-PL"/>
        </w:rPr>
        <w:t>W pierwszym eksperymencie 62</w:t>
      </w:r>
      <w:r w:rsidRPr="001B4D56">
        <w:rPr>
          <w:sz w:val="20"/>
          <w:szCs w:val="20"/>
          <w:lang w:val="pl-PL"/>
        </w:rPr>
        <w:t xml:space="preserve"> uczestników (w tym 43 kobiety) oceniało wiarygodność, pewność siebie i atrakcyjność osób, których twarze (o różnym wyrazie) pokazywano im na kilkusekundowych nagraniach. Dzięki wykorzystaniu EMG potwierdziło się, że uczestnicy chętniej naśladowali radość </w:t>
      </w:r>
      <w:r w:rsidRPr="001B4D56">
        <w:rPr>
          <w:sz w:val="20"/>
          <w:szCs w:val="20"/>
          <w:lang w:val="pl-PL"/>
        </w:rPr>
        <w:t>niż smutek i złość, a dotyczyło to częściej osób podobnych do nich społecznie. Przed eksperymentem badani wypełniali kwestionariusz ze stwierdzeniami, które miały wywołać u nich wrażenie powiązań społecznych z niektórymi z oglądanych osób.</w:t>
      </w:r>
    </w:p>
    <w:p w14:paraId="26A5575C" w14:textId="77777777" w:rsidR="00406877" w:rsidRPr="001B4D56" w:rsidRDefault="0040687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30152649" w14:textId="77777777" w:rsidR="00406877" w:rsidRPr="001B4D56" w:rsidRDefault="00DF4DAE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1B4D56">
        <w:rPr>
          <w:sz w:val="20"/>
          <w:szCs w:val="20"/>
          <w:lang w:val="pl-PL"/>
        </w:rPr>
        <w:t>W drugim eksper</w:t>
      </w:r>
      <w:r w:rsidRPr="001B4D56">
        <w:rPr>
          <w:sz w:val="20"/>
          <w:szCs w:val="20"/>
          <w:lang w:val="pl-PL"/>
        </w:rPr>
        <w:t xml:space="preserve">ymencie badano związek </w:t>
      </w:r>
      <w:proofErr w:type="spellStart"/>
      <w:r w:rsidRPr="001B4D56">
        <w:rPr>
          <w:sz w:val="20"/>
          <w:szCs w:val="20"/>
          <w:lang w:val="pl-PL"/>
        </w:rPr>
        <w:t>przyczynowo-skutkowy</w:t>
      </w:r>
      <w:proofErr w:type="spellEnd"/>
      <w:r w:rsidRPr="001B4D56">
        <w:rPr>
          <w:sz w:val="20"/>
          <w:szCs w:val="20"/>
          <w:lang w:val="pl-PL"/>
        </w:rPr>
        <w:t xml:space="preserve"> między mimiką 46 uczestników (32 kobiety) a oceną cech charakteru osób, które im prezentowano. Badanych poproszono o obejrzenie nagrań twarzy różnych osób i ocenę ich wiarygodności. Mieli też naśladować prezentow</w:t>
      </w:r>
      <w:r w:rsidRPr="001B4D56">
        <w:rPr>
          <w:sz w:val="20"/>
          <w:szCs w:val="20"/>
          <w:lang w:val="pl-PL"/>
        </w:rPr>
        <w:t>ane reakcje, przy czym część zdjęć nie pasowała do emocji, które miały odzwierciedlać. Uczestników poinformowano, że ich własny wyraz twarzy zostanie zarejestrowany i przeanalizowany przez specjalne oprogramowanie. Ten eksperyment potwierdził, że aktywność</w:t>
      </w:r>
      <w:r w:rsidRPr="001B4D56">
        <w:rPr>
          <w:sz w:val="20"/>
          <w:szCs w:val="20"/>
          <w:lang w:val="pl-PL"/>
        </w:rPr>
        <w:t xml:space="preserve"> mięśni twarzy </w:t>
      </w:r>
      <w:r w:rsidRPr="001B4D56">
        <w:rPr>
          <w:sz w:val="20"/>
          <w:szCs w:val="20"/>
          <w:lang w:val="pl-PL"/>
        </w:rPr>
        <w:lastRenderedPageBreak/>
        <w:t>związana z naśladowaniem emocji może wpływać na ocenę cech charakteru drugiej osoby.</w:t>
      </w:r>
    </w:p>
    <w:p w14:paraId="366A8B66" w14:textId="77777777" w:rsidR="00406877" w:rsidRPr="001B4D56" w:rsidRDefault="0040687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30728978" w14:textId="77777777" w:rsidR="00406877" w:rsidRPr="001B4D56" w:rsidRDefault="00DF4DAE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1B4D56">
        <w:rPr>
          <w:sz w:val="20"/>
          <w:szCs w:val="20"/>
          <w:lang w:val="pl-PL"/>
        </w:rPr>
        <w:t>W trzecim eksperymencie naukowcy oceniali zaufanie, prosząc uczestników (64 osoby, w tym 43 kobiety) o podzielenie się wirtualnymi punktami w „grze zaufani</w:t>
      </w:r>
      <w:r w:rsidRPr="001B4D56">
        <w:rPr>
          <w:sz w:val="20"/>
          <w:szCs w:val="20"/>
          <w:lang w:val="pl-PL"/>
        </w:rPr>
        <w:t>a/inwestycji”</w:t>
      </w:r>
      <w:r w:rsidRPr="001B4D56">
        <w:rPr>
          <w:sz w:val="20"/>
          <w:szCs w:val="20"/>
          <w:vertAlign w:val="superscript"/>
          <w:lang w:val="pl-PL"/>
        </w:rPr>
        <w:footnoteReference w:id="3"/>
      </w:r>
      <w:r w:rsidRPr="001B4D56">
        <w:rPr>
          <w:sz w:val="20"/>
          <w:szCs w:val="20"/>
          <w:lang w:val="pl-PL"/>
        </w:rPr>
        <w:t>. Mogli je przekazać uczestnikom, o których uzyskali informacje wcześniej. Trzeci eksperyment potwierdził, że osoby, które się uśmiechały, były częściej naśladowane niż te smutne. Co więcej, mimikra odgrywała znaczącą rolę, jeśli chodzi o wy</w:t>
      </w:r>
      <w:r w:rsidRPr="001B4D56">
        <w:rPr>
          <w:sz w:val="20"/>
          <w:szCs w:val="20"/>
          <w:lang w:val="pl-PL"/>
        </w:rPr>
        <w:t xml:space="preserve">rażane zaufanie. W przeciwieństwie do eksperymentu pierwszego, tutaj społeczne podobieństwo nie miało znaczenia. </w:t>
      </w:r>
    </w:p>
    <w:p w14:paraId="35108A06" w14:textId="77777777" w:rsidR="00406877" w:rsidRPr="001B4D56" w:rsidRDefault="0040687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568BE251" w14:textId="77777777" w:rsidR="00406877" w:rsidRPr="001B4D56" w:rsidRDefault="00DF4DAE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1B4D56"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  <w:t>Uśmiech oznacza, że można zaufać</w:t>
      </w:r>
    </w:p>
    <w:p w14:paraId="4F762AF8" w14:textId="77777777" w:rsidR="00406877" w:rsidRPr="001B4D56" w:rsidRDefault="00DF4DAE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1B4D56">
        <w:rPr>
          <w:sz w:val="20"/>
          <w:szCs w:val="20"/>
          <w:lang w:val="pl-PL"/>
        </w:rPr>
        <w:t>Badacze potwierdzili</w:t>
      </w:r>
      <w:r w:rsidRPr="001B4D56">
        <w:rPr>
          <w:sz w:val="20"/>
          <w:szCs w:val="20"/>
          <w:lang w:val="pl-PL"/>
        </w:rPr>
        <w:t xml:space="preserve"> wcześniejsze obserwacje, że ludzie lepiej oceniają uśmiechnięte osoby, okazują im też większe zaufanie, zwłaszcza gdy są do nich podobni społecznie. Zweryfikowano również obserwację związaną z tym, że częściej naśladujemy radość niż oznaki smutku czy gnie</w:t>
      </w:r>
      <w:r w:rsidRPr="001B4D56">
        <w:rPr>
          <w:sz w:val="20"/>
          <w:szCs w:val="20"/>
          <w:lang w:val="pl-PL"/>
        </w:rPr>
        <w:t xml:space="preserve">wu. </w:t>
      </w:r>
    </w:p>
    <w:p w14:paraId="035B5B5E" w14:textId="77777777" w:rsidR="00406877" w:rsidRPr="001B4D56" w:rsidRDefault="0040687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62CCCE82" w14:textId="77777777" w:rsidR="00406877" w:rsidRPr="001B4D56" w:rsidRDefault="00DF4DAE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1B4D56">
        <w:rPr>
          <w:sz w:val="20"/>
          <w:szCs w:val="20"/>
          <w:lang w:val="pl-PL"/>
        </w:rPr>
        <w:t xml:space="preserve">– Nasza praca świadczy o tym, że ludzie wyciągają wnioski na temat innych na podstawie ich mimiki twarzy. Co najważniejsze, badanie to wzmacnia pogląd, że mimika prognozuje ocenę cech charakteru, a szczególne znaczenie ma tutaj szczęście. Potwierdza </w:t>
      </w:r>
      <w:r w:rsidRPr="001B4D56">
        <w:rPr>
          <w:sz w:val="20"/>
          <w:szCs w:val="20"/>
          <w:lang w:val="pl-PL"/>
        </w:rPr>
        <w:t>to w pewnym stopniu powszechną obserwację, że wyrażanie pozytywnych emocji może skutkować lepszym nastawieniem innych do danej osoby. Z naukowego punktu widzenia wyniki te poszerzają naszą wiedzę na temat roli mimiki w interakcjach społecznych – mówi prof.</w:t>
      </w:r>
      <w:r w:rsidRPr="001B4D56">
        <w:rPr>
          <w:sz w:val="20"/>
          <w:szCs w:val="20"/>
          <w:lang w:val="pl-PL"/>
        </w:rPr>
        <w:t xml:space="preserve"> Olszanowski.</w:t>
      </w:r>
    </w:p>
    <w:p w14:paraId="661B3541" w14:textId="77777777" w:rsidR="00406877" w:rsidRPr="001B4D56" w:rsidRDefault="0040687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3CD6EB43" w14:textId="77777777" w:rsidR="00406877" w:rsidRPr="001B4D56" w:rsidRDefault="00DF4DAE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1B4D56">
        <w:rPr>
          <w:sz w:val="20"/>
          <w:szCs w:val="20"/>
          <w:lang w:val="pl-PL"/>
        </w:rPr>
        <w:t>Artykuł “</w:t>
      </w:r>
      <w:proofErr w:type="spellStart"/>
      <w:r w:rsidRPr="001B4D56">
        <w:rPr>
          <w:lang w:val="pl-PL"/>
        </w:rPr>
        <w:fldChar w:fldCharType="begin"/>
      </w:r>
      <w:r w:rsidRPr="001B4D56">
        <w:rPr>
          <w:lang w:val="pl-PL"/>
        </w:rPr>
        <w:instrText xml:space="preserve"> HYPERLINK "https://psycnet.apa.org/doiLanding?doi=10.1037/emo0001586" \h </w:instrText>
      </w:r>
      <w:r w:rsidRPr="001B4D56">
        <w:rPr>
          <w:lang w:val="pl-PL"/>
        </w:rPr>
        <w:fldChar w:fldCharType="separate"/>
      </w:r>
      <w:r w:rsidRPr="001B4D56">
        <w:rPr>
          <w:color w:val="1155CC"/>
          <w:sz w:val="20"/>
          <w:szCs w:val="20"/>
          <w:u w:val="single"/>
          <w:lang w:val="pl-PL"/>
        </w:rPr>
        <w:t>Smile</w:t>
      </w:r>
      <w:proofErr w:type="spellEnd"/>
      <w:r w:rsidRPr="001B4D56">
        <w:rPr>
          <w:color w:val="1155CC"/>
          <w:sz w:val="20"/>
          <w:szCs w:val="20"/>
          <w:u w:val="single"/>
          <w:lang w:val="pl-PL"/>
        </w:rPr>
        <w:t xml:space="preserve"> and the World Smiles (and </w:t>
      </w:r>
      <w:proofErr w:type="spellStart"/>
      <w:r w:rsidRPr="001B4D56">
        <w:rPr>
          <w:color w:val="1155CC"/>
          <w:sz w:val="20"/>
          <w:szCs w:val="20"/>
          <w:u w:val="single"/>
          <w:lang w:val="pl-PL"/>
        </w:rPr>
        <w:t>Trusts</w:t>
      </w:r>
      <w:proofErr w:type="spellEnd"/>
      <w:r w:rsidRPr="001B4D56">
        <w:rPr>
          <w:color w:val="1155CC"/>
          <w:sz w:val="20"/>
          <w:szCs w:val="20"/>
          <w:u w:val="single"/>
          <w:lang w:val="pl-PL"/>
        </w:rPr>
        <w:t xml:space="preserve">) with </w:t>
      </w:r>
      <w:proofErr w:type="spellStart"/>
      <w:r w:rsidRPr="001B4D56">
        <w:rPr>
          <w:color w:val="1155CC"/>
          <w:sz w:val="20"/>
          <w:szCs w:val="20"/>
          <w:u w:val="single"/>
          <w:lang w:val="pl-PL"/>
        </w:rPr>
        <w:t>You</w:t>
      </w:r>
      <w:proofErr w:type="spellEnd"/>
      <w:r w:rsidRPr="001B4D56">
        <w:rPr>
          <w:color w:val="1155CC"/>
          <w:sz w:val="20"/>
          <w:szCs w:val="20"/>
          <w:u w:val="single"/>
          <w:lang w:val="pl-PL"/>
        </w:rPr>
        <w:t xml:space="preserve">: </w:t>
      </w:r>
      <w:proofErr w:type="spellStart"/>
      <w:r w:rsidRPr="001B4D56">
        <w:rPr>
          <w:color w:val="1155CC"/>
          <w:sz w:val="20"/>
          <w:szCs w:val="20"/>
          <w:u w:val="single"/>
          <w:lang w:val="pl-PL"/>
        </w:rPr>
        <w:t>Happiness</w:t>
      </w:r>
      <w:proofErr w:type="spellEnd"/>
      <w:r w:rsidRPr="001B4D56">
        <w:rPr>
          <w:color w:val="1155CC"/>
          <w:sz w:val="20"/>
          <w:szCs w:val="20"/>
          <w:u w:val="single"/>
          <w:lang w:val="pl-PL"/>
        </w:rPr>
        <w:t xml:space="preserve"> </w:t>
      </w:r>
      <w:proofErr w:type="spellStart"/>
      <w:r w:rsidRPr="001B4D56">
        <w:rPr>
          <w:color w:val="1155CC"/>
          <w:sz w:val="20"/>
          <w:szCs w:val="20"/>
          <w:u w:val="single"/>
          <w:lang w:val="pl-PL"/>
        </w:rPr>
        <w:t>Mimicry</w:t>
      </w:r>
      <w:proofErr w:type="spellEnd"/>
      <w:r w:rsidRPr="001B4D56">
        <w:rPr>
          <w:color w:val="1155CC"/>
          <w:sz w:val="20"/>
          <w:szCs w:val="20"/>
          <w:u w:val="single"/>
          <w:lang w:val="pl-PL"/>
        </w:rPr>
        <w:t xml:space="preserve"> </w:t>
      </w:r>
      <w:proofErr w:type="spellStart"/>
      <w:r w:rsidRPr="001B4D56">
        <w:rPr>
          <w:color w:val="1155CC"/>
          <w:sz w:val="20"/>
          <w:szCs w:val="20"/>
          <w:u w:val="single"/>
          <w:lang w:val="pl-PL"/>
        </w:rPr>
        <w:t>Shapes</w:t>
      </w:r>
      <w:proofErr w:type="spellEnd"/>
      <w:r w:rsidRPr="001B4D56">
        <w:rPr>
          <w:color w:val="1155CC"/>
          <w:sz w:val="20"/>
          <w:szCs w:val="20"/>
          <w:u w:val="single"/>
          <w:lang w:val="pl-PL"/>
        </w:rPr>
        <w:t xml:space="preserve"> First </w:t>
      </w:r>
      <w:proofErr w:type="spellStart"/>
      <w:r w:rsidRPr="001B4D56">
        <w:rPr>
          <w:color w:val="1155CC"/>
          <w:sz w:val="20"/>
          <w:szCs w:val="20"/>
          <w:u w:val="single"/>
          <w:lang w:val="pl-PL"/>
        </w:rPr>
        <w:t>Impressions</w:t>
      </w:r>
      <w:proofErr w:type="spellEnd"/>
      <w:r w:rsidRPr="001B4D56">
        <w:rPr>
          <w:color w:val="1155CC"/>
          <w:sz w:val="20"/>
          <w:szCs w:val="20"/>
          <w:u w:val="single"/>
          <w:lang w:val="pl-PL"/>
        </w:rPr>
        <w:fldChar w:fldCharType="end"/>
      </w:r>
      <w:r w:rsidRPr="001B4D56">
        <w:rPr>
          <w:sz w:val="20"/>
          <w:szCs w:val="20"/>
          <w:lang w:val="pl-PL"/>
        </w:rPr>
        <w:t>” ukazał się w czasopiśmie  “</w:t>
      </w:r>
      <w:proofErr w:type="spellStart"/>
      <w:r w:rsidRPr="001B4D56">
        <w:rPr>
          <w:sz w:val="20"/>
          <w:szCs w:val="20"/>
          <w:lang w:val="pl-PL"/>
        </w:rPr>
        <w:t>Emotion</w:t>
      </w:r>
      <w:proofErr w:type="spellEnd"/>
      <w:r w:rsidRPr="001B4D56">
        <w:rPr>
          <w:sz w:val="20"/>
          <w:szCs w:val="20"/>
          <w:lang w:val="pl-PL"/>
        </w:rPr>
        <w:t xml:space="preserve">”. </w:t>
      </w:r>
    </w:p>
    <w:p w14:paraId="1C0C2B5B" w14:textId="77777777" w:rsidR="00406877" w:rsidRPr="001B4D56" w:rsidRDefault="00406877">
      <w:pPr>
        <w:widowControl/>
        <w:spacing w:line="276" w:lineRule="auto"/>
        <w:jc w:val="both"/>
        <w:rPr>
          <w:rFonts w:ascii="Arial" w:eastAsia="Arial" w:hAnsi="Arial" w:cs="Arial"/>
          <w:b/>
          <w:bCs/>
          <w:lang w:val="pl-PL"/>
        </w:rPr>
      </w:pPr>
    </w:p>
    <w:p w14:paraId="19E7F683" w14:textId="77777777" w:rsidR="00406877" w:rsidRPr="001B4D56" w:rsidRDefault="00DF4DAE">
      <w:pPr>
        <w:widowControl/>
        <w:spacing w:line="276" w:lineRule="auto"/>
        <w:jc w:val="both"/>
        <w:rPr>
          <w:rFonts w:ascii="Arial" w:eastAsia="Arial" w:hAnsi="Arial" w:cs="Arial"/>
          <w:b/>
          <w:bCs/>
          <w:lang w:val="pl-PL"/>
        </w:rPr>
      </w:pPr>
      <w:r w:rsidRPr="001B4D56">
        <w:rPr>
          <w:rFonts w:ascii="Arial" w:eastAsia="Arial" w:hAnsi="Arial" w:cs="Arial"/>
          <w:b/>
          <w:bCs/>
          <w:lang w:val="pl-PL"/>
        </w:rPr>
        <w:t>****</w:t>
      </w:r>
    </w:p>
    <w:p w14:paraId="72E8B8C2" w14:textId="77777777" w:rsidR="00406877" w:rsidRPr="001B4D56" w:rsidRDefault="00406877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6504DB04" w14:textId="77777777" w:rsidR="00406877" w:rsidRPr="001B4D56" w:rsidRDefault="00DF4DAE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1B4D56">
        <w:rPr>
          <w:b/>
          <w:bCs/>
          <w:sz w:val="20"/>
          <w:szCs w:val="20"/>
          <w:lang w:val="pl-PL"/>
        </w:rPr>
        <w:lastRenderedPageBreak/>
        <w:t>Uniwersytet SWPS</w:t>
      </w:r>
      <w:r w:rsidRPr="001B4D56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badaniami naukowymi prowadzonymi na najwyższym poziomie. Uczelnia kształci blisko 18 tys. studentek i studentów – w tym</w:t>
      </w:r>
      <w:r w:rsidRPr="001B4D56">
        <w:rPr>
          <w:sz w:val="20"/>
          <w:szCs w:val="20"/>
          <w:lang w:val="pl-PL"/>
        </w:rPr>
        <w:t xml:space="preserve"> ponad tysiąc z zagranicy oraz ponad 4,5 tys. słuchaczek i słuchaczy studiów podyplomowych na ponad 50 kierunkach studiów stacjonarnych i ponad 40 niestacjonarnych i ok. 240 kierunkach studiów podyplomowych. Uniwersytet oferuje programy studiów z psycholog</w:t>
      </w:r>
      <w:r w:rsidRPr="001B4D56">
        <w:rPr>
          <w:sz w:val="20"/>
          <w:szCs w:val="20"/>
          <w:lang w:val="pl-PL"/>
        </w:rPr>
        <w:t>ii, prawa, zarządzania, dziennikarstwa, filologii, kulturoznawstwa, nowych technologii oraz grafiki i wzornictwa, a także edukację w postaci szkoleń i krótkich kursów akademickich. Uczelnia dba o wysoką wartość akademicką naszych programów oraz ich dostoso</w:t>
      </w:r>
      <w:r w:rsidRPr="001B4D56">
        <w:rPr>
          <w:sz w:val="20"/>
          <w:szCs w:val="20"/>
          <w:lang w:val="pl-PL"/>
        </w:rPr>
        <w:t>wanie do wymagań zmieniającego się rynku pracy. Kampusy Uniwersytetu SWPS znajdują się w sześciu miastach: Warszawie (siedziba), Wrocławiu, Sopocie, Poznaniu, Katowicach i w Krakowie.</w:t>
      </w:r>
    </w:p>
    <w:p w14:paraId="06532211" w14:textId="77777777" w:rsidR="00406877" w:rsidRPr="001B4D56" w:rsidRDefault="00406877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3E4E9216" w14:textId="77777777" w:rsidR="00406877" w:rsidRPr="001B4D56" w:rsidRDefault="00DF4DAE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1B4D56">
        <w:rPr>
          <w:sz w:val="20"/>
          <w:szCs w:val="20"/>
          <w:lang w:val="pl-PL"/>
        </w:rPr>
        <w:t xml:space="preserve">Uczelnia posiada uprawnienia do nadawania stopnia doktora oraz doktora </w:t>
      </w:r>
      <w:r w:rsidRPr="001B4D56">
        <w:rPr>
          <w:sz w:val="20"/>
          <w:szCs w:val="20"/>
          <w:lang w:val="pl-PL"/>
        </w:rPr>
        <w:t>habilitowanego w siedmiu dyscyplinach: psychologia, nauki o kulturze i religii, literaturoznawstwo, nauki prawne, nauki socjologiczne, nauki o polityce i administracji, sztuki plastyczne i konserwacja dzieł sztuki. Na Uniwersytecie SWPS funkcjonuje pięć in</w:t>
      </w:r>
      <w:r w:rsidRPr="001B4D56">
        <w:rPr>
          <w:sz w:val="20"/>
          <w:szCs w:val="20"/>
          <w:lang w:val="pl-PL"/>
        </w:rPr>
        <w:t>stytutów naukowych, które zajmują się organizacją i koordynacją działalności naukowej pracowników badawczych i badawczo-dydaktycznych uczelni w poszczególnych dyscyplinach: Instytut Psychologii, Instytut Nauk Humanistycznych, Instytut Nauk Społecznych, Ins</w:t>
      </w:r>
      <w:r w:rsidRPr="001B4D56">
        <w:rPr>
          <w:sz w:val="20"/>
          <w:szCs w:val="20"/>
          <w:lang w:val="pl-PL"/>
        </w:rPr>
        <w:t>tytut Prawa oraz Instytut Projektowania. W uczelni działa blisko 30 centrów badawczych oraz ponad 175 kół naukowych.</w:t>
      </w:r>
    </w:p>
    <w:p w14:paraId="67471A66" w14:textId="77777777" w:rsidR="00406877" w:rsidRPr="001B4D56" w:rsidRDefault="00406877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2DCCB50A" w14:textId="77777777" w:rsidR="00406877" w:rsidRPr="001B4D56" w:rsidRDefault="00DF4DAE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1B4D56">
        <w:rPr>
          <w:sz w:val="20"/>
          <w:szCs w:val="20"/>
          <w:lang w:val="pl-PL"/>
        </w:rPr>
        <w:t xml:space="preserve">Uniwersytet SWPS należy do sojuszu </w:t>
      </w:r>
      <w:proofErr w:type="spellStart"/>
      <w:r w:rsidRPr="001B4D56">
        <w:rPr>
          <w:sz w:val="20"/>
          <w:szCs w:val="20"/>
          <w:lang w:val="pl-PL"/>
        </w:rPr>
        <w:t>European</w:t>
      </w:r>
      <w:proofErr w:type="spellEnd"/>
      <w:r w:rsidRPr="001B4D56">
        <w:rPr>
          <w:sz w:val="20"/>
          <w:szCs w:val="20"/>
          <w:lang w:val="pl-PL"/>
        </w:rPr>
        <w:t xml:space="preserve"> Reform University Alliance (ERUA). Jest to sojusz uczelni zawarty w ramach Inicjatywy Uniwersy</w:t>
      </w:r>
      <w:r w:rsidRPr="001B4D56">
        <w:rPr>
          <w:sz w:val="20"/>
          <w:szCs w:val="20"/>
          <w:lang w:val="pl-PL"/>
        </w:rPr>
        <w:t>tetów Europejskich, powołanej i finansowanej przez Komisję Europejską.</w:t>
      </w:r>
    </w:p>
    <w:p w14:paraId="214A0F62" w14:textId="77777777" w:rsidR="00406877" w:rsidRPr="001B4D56" w:rsidRDefault="00406877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sectPr w:rsidR="00406877" w:rsidRPr="001B4D56">
      <w:headerReference w:type="even" r:id="rId7"/>
      <w:headerReference w:type="default" r:id="rId8"/>
      <w:footerReference w:type="default" r:id="rId9"/>
      <w:headerReference w:type="first" r:id="rId10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8A85CF" w14:textId="77777777" w:rsidR="00DF4DAE" w:rsidRDefault="00DF4DAE">
      <w:r>
        <w:separator/>
      </w:r>
    </w:p>
  </w:endnote>
  <w:endnote w:type="continuationSeparator" w:id="0">
    <w:p w14:paraId="3D93E049" w14:textId="77777777" w:rsidR="00DF4DAE" w:rsidRDefault="00DF4D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2EA2B119-8A0F-489A-92A0-A8E1632DDB99}"/>
    <w:embedBold r:id="rId2" w:fontKey="{71F2930E-FAB9-4EEB-ABB8-1C882F9E0D1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B385D1A5-C2E9-48DF-85FE-49950C2D2742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B13B09FA-4AB8-45F0-B6F0-BEA655040B3B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2FF" w:usb1="5000205B" w:usb2="00000020" w:usb3="00000000" w:csb0="0000019F" w:csb1="00000000"/>
    <w:embedBold r:id="rId5" w:fontKey="{5317A81C-0D95-43B8-A77D-FCD2D91516B8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1EE1DC8B-D7DC-4ABB-9B13-602813823D2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545C5272-B934-4C8D-A8A7-33383D13DBD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35C716" w14:textId="77777777" w:rsidR="00406877" w:rsidRDefault="00DF4DA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704" behindDoc="1" locked="0" layoutInCell="1" hidden="0" allowOverlap="1" wp14:anchorId="3FAFD010" wp14:editId="56CDC60F">
              <wp:simplePos x="0" y="0"/>
              <wp:positionH relativeFrom="column">
                <wp:posOffset>-4761</wp:posOffset>
              </wp:positionH>
              <wp:positionV relativeFrom="paragraph">
                <wp:posOffset>9571038</wp:posOffset>
              </wp:positionV>
              <wp:extent cx="3571110" cy="427230"/>
              <wp:effectExtent l="0" t="0" r="0" b="0"/>
              <wp:wrapNone/>
              <wp:docPr id="12" name="Prostokąt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4D8321C" w14:textId="77777777" w:rsidR="00406877" w:rsidRDefault="00DF4DAE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350744C6" w14:textId="77777777" w:rsidR="00406877" w:rsidRDefault="00DF4DAE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9571038</wp:posOffset>
              </wp:positionV>
              <wp:extent cx="3571110" cy="427230"/>
              <wp:effectExtent b="0" l="0" r="0" t="0"/>
              <wp:wrapNone/>
              <wp:docPr id="12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71110" cy="42723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728" behindDoc="1" locked="0" layoutInCell="1" hidden="0" allowOverlap="1" wp14:anchorId="2F341BE5" wp14:editId="7D1EEFFD">
              <wp:simplePos x="0" y="0"/>
              <wp:positionH relativeFrom="column">
                <wp:posOffset>-906460</wp:posOffset>
              </wp:positionH>
              <wp:positionV relativeFrom="paragraph">
                <wp:posOffset>9825038</wp:posOffset>
              </wp:positionV>
              <wp:extent cx="958950" cy="176670"/>
              <wp:effectExtent l="0" t="0" r="0" b="0"/>
              <wp:wrapNone/>
              <wp:docPr id="13" name="Prostokąt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2CAA8B2" w14:textId="77777777" w:rsidR="00406877" w:rsidRDefault="00DF4DAE">
                          <w:pPr>
                            <w:spacing w:before="20"/>
                            <w:ind w:left="20" w:firstLine="12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-906460</wp:posOffset>
              </wp:positionH>
              <wp:positionV relativeFrom="paragraph">
                <wp:posOffset>9825038</wp:posOffset>
              </wp:positionV>
              <wp:extent cx="958950" cy="176670"/>
              <wp:effectExtent b="0" l="0" r="0" t="0"/>
              <wp:wrapNone/>
              <wp:docPr id="13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58950" cy="17667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9D5296" w14:textId="77777777" w:rsidR="00DF4DAE" w:rsidRDefault="00DF4DAE">
      <w:r>
        <w:separator/>
      </w:r>
    </w:p>
  </w:footnote>
  <w:footnote w:type="continuationSeparator" w:id="0">
    <w:p w14:paraId="787F96B1" w14:textId="77777777" w:rsidR="00DF4DAE" w:rsidRDefault="00DF4DAE">
      <w:r>
        <w:continuationSeparator/>
      </w:r>
    </w:p>
  </w:footnote>
  <w:footnote w:id="1">
    <w:p w14:paraId="6CDB57CE" w14:textId="77777777" w:rsidR="00406877" w:rsidRDefault="00DF4DAE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Kenny, D. A. (2004). PERSON: A general model of interpersonal perception. Personality and Social Psychology Review, 8(3), 265–280. https://doi.org/10.1207/s15327957pspr0803_3</w:t>
      </w:r>
    </w:p>
  </w:footnote>
  <w:footnote w:id="2">
    <w:p w14:paraId="35C46296" w14:textId="77777777" w:rsidR="00406877" w:rsidRDefault="00DF4DAE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Senior, C., Phillips, M. L., Barnes, J., &amp; David, A. S. (1999). An investigation into the perception of dominance from schematic faces: A study using the World-Wide Web. Behavior Research Methods, Instruments and Computers, 31(2), 341–346. https://doi.org</w:t>
      </w:r>
      <w:r>
        <w:rPr>
          <w:sz w:val="16"/>
          <w:szCs w:val="16"/>
        </w:rPr>
        <w:t>/10.3758/BF03207730</w:t>
      </w:r>
    </w:p>
  </w:footnote>
  <w:footnote w:id="3">
    <w:p w14:paraId="4A06EBEF" w14:textId="77777777" w:rsidR="00406877" w:rsidRDefault="00DF4DAE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Berg, J., </w:t>
      </w:r>
      <w:proofErr w:type="spellStart"/>
      <w:r>
        <w:rPr>
          <w:sz w:val="16"/>
          <w:szCs w:val="16"/>
        </w:rPr>
        <w:t>Dickhaut</w:t>
      </w:r>
      <w:proofErr w:type="spellEnd"/>
      <w:r>
        <w:rPr>
          <w:sz w:val="16"/>
          <w:szCs w:val="16"/>
        </w:rPr>
        <w:t>, J., &amp; McCabe, K. (1995). Trust, reciprocity, and social history. Games and economic behavior, 10(1), 122–142. https://doi.org/10.1006/game.1995.1027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138E8D" w14:textId="77777777" w:rsidR="00406877" w:rsidRDefault="00DF4DA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71D6FE9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E07DC7" w14:textId="77777777" w:rsidR="00406877" w:rsidRDefault="00DF4DA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5FF2ED28" wp14:editId="0580F7D1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14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671936" w14:textId="77777777" w:rsidR="00406877" w:rsidRDefault="00DF4DA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26E9A7E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4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6877"/>
    <w:rsid w:val="001B4D56"/>
    <w:rsid w:val="00406877"/>
    <w:rsid w:val="00DF4D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69FBB5AB"/>
  <w15:docId w15:val="{DE2DF04B-7486-402F-84E0-6E99BE66BE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3nZrespiCxTof4W6RLTRGfpL5w==">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1031</Words>
  <Characters>6187</Characters>
  <Application>Microsoft Office Word</Application>
  <DocSecurity>0</DocSecurity>
  <Lines>51</Lines>
  <Paragraphs>14</Paragraphs>
  <ScaleCrop>false</ScaleCrop>
  <Company>Uniwersytet SWPS</Company>
  <LinksUpToDate>false</LinksUpToDate>
  <CharactersWithSpaces>7204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Marta Danowska-Kisiel</cp:lastModifiedBy>
  <cp:revision>2</cp:revision>
  <dcterms:created xsi:type="dcterms:W3CDTF">2025-12-11T07:13:00Z</dcterms:created>
  <dcterms:modified xsi:type="dcterms:W3CDTF">2025-12-11T07:13:00Z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